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ontserrat" w:cs="Montserrat" w:eastAsia="Montserrat" w:hAnsi="Montserrat"/>
          <w:b w:val="1"/>
          <w:sz w:val="32"/>
          <w:szCs w:val="32"/>
        </w:rPr>
      </w:pPr>
      <w:r w:rsidDel="00000000" w:rsidR="00000000" w:rsidRPr="00000000">
        <w:rPr>
          <w:rFonts w:ascii="Montserrat" w:cs="Montserrat" w:eastAsia="Montserrat" w:hAnsi="Montserrat"/>
          <w:b w:val="1"/>
          <w:sz w:val="32"/>
          <w:szCs w:val="32"/>
        </w:rPr>
        <w:drawing>
          <wp:inline distB="114300" distT="114300" distL="114300" distR="114300">
            <wp:extent cx="4130513" cy="2327789"/>
            <wp:effectExtent b="0" l="0" r="0" t="0"/>
            <wp:docPr id="2" name="image2.jpg"/>
            <a:graphic>
              <a:graphicData uri="http://schemas.openxmlformats.org/drawingml/2006/picture">
                <pic:pic>
                  <pic:nvPicPr>
                    <pic:cNvPr id="0" name="image2.jpg"/>
                    <pic:cNvPicPr preferRelativeResize="0"/>
                  </pic:nvPicPr>
                  <pic:blipFill>
                    <a:blip r:embed="rId6"/>
                    <a:srcRect b="0" l="3213" r="3213" t="0"/>
                    <a:stretch>
                      <a:fillRect/>
                    </a:stretch>
                  </pic:blipFill>
                  <pic:spPr>
                    <a:xfrm>
                      <a:off x="0" y="0"/>
                      <a:ext cx="4130513" cy="2327789"/>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32"/>
          <w:szCs w:val="32"/>
        </w:rPr>
      </w:pPr>
      <w:r w:rsidDel="00000000" w:rsidR="00000000" w:rsidRPr="00000000">
        <w:rPr>
          <w:rtl w:val="0"/>
        </w:rPr>
      </w:r>
    </w:p>
    <w:p w:rsidR="00000000" w:rsidDel="00000000" w:rsidP="00000000" w:rsidRDefault="00000000" w:rsidRPr="00000000" w14:paraId="00000003">
      <w:pPr>
        <w:spacing w:after="240" w:before="240" w:lineRule="auto"/>
        <w:jc w:val="center"/>
        <w:rPr>
          <w:rFonts w:ascii="Montserrat" w:cs="Montserrat" w:eastAsia="Montserrat" w:hAnsi="Montserrat"/>
          <w:b w:val="1"/>
          <w:sz w:val="24"/>
          <w:szCs w:val="24"/>
        </w:rPr>
      </w:pPr>
      <w:r w:rsidDel="00000000" w:rsidR="00000000" w:rsidRPr="00000000">
        <w:rPr>
          <w:b w:val="1"/>
          <w:sz w:val="36"/>
          <w:szCs w:val="36"/>
          <w:rtl w:val="0"/>
        </w:rPr>
        <w:t xml:space="preserve">UNDER ARMOUR FIRMA AL LATERAL DERECHO DE CLASE MUNDIAL ACHRAF HAKIMI</w:t>
      </w: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Fonts w:ascii="Montserrat" w:cs="Montserrat" w:eastAsia="Montserrat" w:hAnsi="Montserrat"/>
          <w:b w:val="1"/>
          <w:sz w:val="20"/>
          <w:szCs w:val="20"/>
          <w:rtl w:val="0"/>
        </w:rPr>
        <w:t xml:space="preserve">Ciudad de México, a</w:t>
      </w:r>
      <w:r w:rsidDel="00000000" w:rsidR="00000000" w:rsidRPr="00000000">
        <w:rPr>
          <w:rFonts w:ascii="Montserrat" w:cs="Montserrat" w:eastAsia="Montserrat" w:hAnsi="Montserrat"/>
          <w:b w:val="1"/>
          <w:sz w:val="20"/>
          <w:szCs w:val="20"/>
          <w:rtl w:val="0"/>
        </w:rPr>
        <w:t xml:space="preserve"> 07 de abril de 2025</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b w:val="1"/>
          <w:sz w:val="20"/>
          <w:szCs w:val="20"/>
          <w:rtl w:val="0"/>
        </w:rPr>
        <w:t xml:space="preserve">-</w:t>
      </w:r>
      <w:r w:rsidDel="00000000" w:rsidR="00000000" w:rsidRPr="00000000">
        <w:rPr>
          <w:rFonts w:ascii="Montserrat" w:cs="Montserrat" w:eastAsia="Montserrat" w:hAnsi="Montserrat"/>
          <w:sz w:val="20"/>
          <w:szCs w:val="20"/>
          <w:rtl w:val="0"/>
        </w:rPr>
        <w:t xml:space="preserve"> </w:t>
      </w:r>
      <w:r w:rsidDel="00000000" w:rsidR="00000000" w:rsidRPr="00000000">
        <w:rPr>
          <w:rtl w:val="0"/>
        </w:rPr>
        <w:t xml:space="preserve">Under Armour sigue dejando huella en el mundo del fútbol con la incorporación de Achraf Hakimi, estrella del Paris Saint-Germain y de la Selección Nacional de Marruecos, a su creciente lista de jóvenes talentos futbolísticos.</w:t>
      </w:r>
    </w:p>
    <w:p w:rsidR="00000000" w:rsidDel="00000000" w:rsidP="00000000" w:rsidRDefault="00000000" w:rsidRPr="00000000" w14:paraId="00000006">
      <w:pPr>
        <w:spacing w:after="240" w:before="240" w:lineRule="auto"/>
        <w:rPr/>
      </w:pPr>
      <w:r w:rsidDel="00000000" w:rsidR="00000000" w:rsidRPr="00000000">
        <w:rPr>
          <w:rtl w:val="0"/>
        </w:rPr>
        <w:t xml:space="preserve">Con varios goles y asistencias en lo que va de la temporada, Hakimi está en su mejor momento mientras el Paris Saint-Germain lidera con comodidad la Ligue 1 y se prepara para los cuartos de final de la Champions League. Su tenacidad, determinación, amor por sus raíces, gran sentido del estilo y aspiración por la grandeza lo convierten en el embajador ideal para Under Armour.</w:t>
      </w:r>
    </w:p>
    <w:p w:rsidR="00000000" w:rsidDel="00000000" w:rsidP="00000000" w:rsidRDefault="00000000" w:rsidRPr="00000000" w14:paraId="00000007">
      <w:pPr>
        <w:spacing w:after="240" w:before="240" w:lineRule="auto"/>
        <w:rPr>
          <w:b w:val="1"/>
        </w:rPr>
      </w:pPr>
      <w:r w:rsidDel="00000000" w:rsidR="00000000" w:rsidRPr="00000000">
        <w:rPr>
          <w:rtl w:val="0"/>
        </w:rPr>
        <w:t xml:space="preserve">"Estoy muy emocionado de unirme a Under Armour, una marca que diseña productos excepcionales y que está completamente alineada con mis valores y ambiciones personales. Espero crecer en mi carrera junto a ellos mientras expanden su presencia en el fútbol y en la indumentaria deportiva, tanto en Francia como en toda la región de Europa, Medio Oriente y África", mencionó Hakimi. </w:t>
      </w:r>
      <w:r w:rsidDel="00000000" w:rsidR="00000000" w:rsidRPr="00000000">
        <w:rPr>
          <w:rtl w:val="0"/>
        </w:rPr>
      </w:r>
    </w:p>
    <w:p w:rsidR="00000000" w:rsidDel="00000000" w:rsidP="00000000" w:rsidRDefault="00000000" w:rsidRPr="00000000" w14:paraId="00000008">
      <w:pPr>
        <w:spacing w:after="240" w:before="240" w:lineRule="auto"/>
        <w:rPr/>
      </w:pPr>
      <w:r w:rsidDel="00000000" w:rsidR="00000000" w:rsidRPr="00000000">
        <w:rPr>
          <w:rtl w:val="0"/>
        </w:rPr>
        <w:t xml:space="preserve">Con esta incorporación, Under Armour refuerza su presencia en París y demuestra su intención de consolidarse en el mercado francés, donde ha experimentado un crecimiento significativo en los últimos 18 meses. Hakimi, convertido en un icono global desde la destacada actuación de Marruecos en la Copa del Mundo de Catar 2022 y uno de los favoritos de la afición del PSG, liderará el impulso de la marca entre los jóvenes atletas en Francia y en toda Europa, Medio Oriente y África.</w:t>
      </w:r>
    </w:p>
    <w:p w:rsidR="00000000" w:rsidDel="00000000" w:rsidP="00000000" w:rsidRDefault="00000000" w:rsidRPr="00000000" w14:paraId="00000009">
      <w:pPr>
        <w:spacing w:after="240" w:before="240" w:lineRule="auto"/>
        <w:rPr/>
      </w:pPr>
      <w:r w:rsidDel="00000000" w:rsidR="00000000" w:rsidRPr="00000000">
        <w:rPr>
          <w:rtl w:val="0"/>
        </w:rPr>
        <w:t xml:space="preserve">Hakimi jugará con las botas Shadow Elite 3 de Under Armour, la más reciente innovación en calzado de fútbol de la marca. Además, lucirá las últimas colecciones de rendimiento e indumentaria deportiva de Under Armour fuera del campo, incluyendo las gamas Challenger, Terrace y Unstoppable, impulsando así las categorías clave de crecimiento de la marca en fútbol y moda deportiva.</w:t>
      </w:r>
    </w:p>
    <w:p w:rsidR="00000000" w:rsidDel="00000000" w:rsidP="00000000" w:rsidRDefault="00000000" w:rsidRPr="00000000" w14:paraId="0000000A">
      <w:pPr>
        <w:spacing w:after="240" w:before="240" w:lineRule="auto"/>
        <w:rPr/>
      </w:pPr>
      <w:r w:rsidDel="00000000" w:rsidR="00000000" w:rsidRPr="00000000">
        <w:rPr>
          <w:rtl w:val="0"/>
        </w:rPr>
        <w:t xml:space="preserve">"La llegada de Achraf es un paso crucial para Under Armour en el fútbol. Demuestra nuestro compromiso y enfoque inquebrantable en hacer crecer nuestro negocio futbolístico a través de atletas de clase mundial. Estamos ansiosos por comenzar este viaje juntos y llevar el juego y la carrera de Achraf al siguiente nivel’’ dijo Kevin Ross, Managing Director, Under Armour para Europa, Medio Oriente y África.</w:t>
      </w:r>
    </w:p>
    <w:p w:rsidR="00000000" w:rsidDel="00000000" w:rsidP="00000000" w:rsidRDefault="00000000" w:rsidRPr="00000000" w14:paraId="0000000B">
      <w:pPr>
        <w:spacing w:after="240" w:before="240" w:lineRule="auto"/>
        <w:rPr/>
      </w:pPr>
      <w:r w:rsidDel="00000000" w:rsidR="00000000" w:rsidRPr="00000000">
        <w:rPr>
          <w:rtl w:val="0"/>
        </w:rPr>
        <w:t xml:space="preserve">Para celebrar esta alianza, Under Armour ha creado un impactante video de presentación. Ambientado en un fondo blanco minimalista, el concepto creativo emplea un tratamiento gráfico audaz que fusiona de manera fluida la marca y la ciudad de París en una expresión icónica, donde una legendaria sombra evoluciona hasta formar el logo de Under Armour, con Hakimi en el centro de la escena.</w:t>
      </w:r>
    </w:p>
    <w:p w:rsidR="00000000" w:rsidDel="00000000" w:rsidP="00000000" w:rsidRDefault="00000000" w:rsidRPr="00000000" w14:paraId="0000000C">
      <w:pPr>
        <w:spacing w:after="240" w:before="240" w:lineRule="auto"/>
        <w:rPr/>
      </w:pPr>
      <w:r w:rsidDel="00000000" w:rsidR="00000000" w:rsidRPr="00000000">
        <w:rPr>
          <w:rtl w:val="0"/>
        </w:rPr>
        <w:t xml:space="preserve">Hakimi se suma a una impresionante lista de jóvenes talentos europeos que han firmado con Under Armour en el último año, incluyendo a Pedro Porro (Tottenham FC), Sacha Boey (Bayern Múnich), Ferran Torres y Marc Casadó (Barcelona FC).</w:t>
      </w:r>
    </w:p>
    <w:p w:rsidR="00000000" w:rsidDel="00000000" w:rsidP="00000000" w:rsidRDefault="00000000" w:rsidRPr="00000000" w14:paraId="0000000D">
      <w:pPr>
        <w:jc w:val="both"/>
        <w:rPr>
          <w:sz w:val="24"/>
          <w:szCs w:val="24"/>
        </w:rPr>
      </w:pPr>
      <w:r w:rsidDel="00000000" w:rsidR="00000000" w:rsidRPr="00000000">
        <w:rPr>
          <w:sz w:val="24"/>
          <w:szCs w:val="24"/>
          <w:rtl w:val="0"/>
        </w:rPr>
        <w:t xml:space="preserve">•••</w:t>
      </w:r>
    </w:p>
    <w:p w:rsidR="00000000" w:rsidDel="00000000" w:rsidP="00000000" w:rsidRDefault="00000000" w:rsidRPr="00000000" w14:paraId="0000000E">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F">
      <w:pPr>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Acerca de Under Armour, Inc.</w:t>
      </w:r>
    </w:p>
    <w:p w:rsidR="00000000" w:rsidDel="00000000" w:rsidP="00000000" w:rsidRDefault="00000000" w:rsidRPr="00000000" w14:paraId="00000010">
      <w:pPr>
        <w:jc w:val="both"/>
        <w:rPr>
          <w:rFonts w:ascii="Montserrat" w:cs="Montserrat" w:eastAsia="Montserrat" w:hAnsi="Montserrat"/>
          <w:sz w:val="18"/>
          <w:szCs w:val="18"/>
        </w:rPr>
      </w:pPr>
      <w:r w:rsidDel="00000000" w:rsidR="00000000" w:rsidRPr="00000000">
        <w:rPr>
          <w:rFonts w:ascii="Montserrat" w:cs="Montserrat" w:eastAsia="Montserrat" w:hAnsi="Montserrat"/>
          <w:i w:val="1"/>
          <w:sz w:val="18"/>
          <w:szCs w:val="18"/>
          <w:rtl w:val="0"/>
        </w:rPr>
        <w:t xml:space="preserve">Under Armour, Inc., con sede en Baltimore, Maryland, es un líder en la innovación, comercialización y distribución de ropa, calzado y accesorios deportivos de alto rendimiento. Diseñados para potenciar el rendimiento humano, los productos y experiencias innovadoras de Under Armour están creados para hacer que los atletas sean mejores. Para más información, visita</w:t>
      </w:r>
      <w:hyperlink r:id="rId7">
        <w:r w:rsidDel="00000000" w:rsidR="00000000" w:rsidRPr="00000000">
          <w:rPr>
            <w:rFonts w:ascii="Montserrat" w:cs="Montserrat" w:eastAsia="Montserrat" w:hAnsi="Montserrat"/>
            <w:i w:val="1"/>
            <w:sz w:val="18"/>
            <w:szCs w:val="18"/>
            <w:rtl w:val="0"/>
          </w:rPr>
          <w:t xml:space="preserve"> </w:t>
        </w:r>
      </w:hyperlink>
      <w:hyperlink r:id="rId8">
        <w:r w:rsidDel="00000000" w:rsidR="00000000" w:rsidRPr="00000000">
          <w:rPr>
            <w:rFonts w:ascii="Montserrat" w:cs="Montserrat" w:eastAsia="Montserrat" w:hAnsi="Montserrat"/>
            <w:i w:val="1"/>
            <w:color w:val="1155cc"/>
            <w:sz w:val="18"/>
            <w:szCs w:val="18"/>
            <w:u w:val="single"/>
            <w:rtl w:val="0"/>
          </w:rPr>
          <w:t xml:space="preserve">http://about.underarmour.com</w:t>
        </w:r>
      </w:hyperlink>
      <w:r w:rsidDel="00000000" w:rsidR="00000000" w:rsidRPr="00000000">
        <w:rPr>
          <w:rFonts w:ascii="Montserrat" w:cs="Montserrat" w:eastAsia="Montserrat" w:hAnsi="Montserrat"/>
          <w:i w:val="1"/>
          <w:sz w:val="18"/>
          <w:szCs w:val="18"/>
          <w:rtl w:val="0"/>
        </w:rPr>
        <w:t xml:space="preserve">.</w:t>
      </w: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after="240" w:before="240" w:lineRule="auto"/>
      <w:jc w:val="center"/>
      <w:rPr/>
    </w:pPr>
    <w:r w:rsidDel="00000000" w:rsidR="00000000" w:rsidRPr="00000000">
      <w:rPr/>
      <w:drawing>
        <wp:inline distB="114300" distT="114300" distL="114300" distR="114300">
          <wp:extent cx="1618488" cy="84296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18488" cy="84296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about.underarmour.com" TargetMode="External"/><Relationship Id="rId8" Type="http://schemas.openxmlformats.org/officeDocument/2006/relationships/hyperlink" Target="http://about.underarmou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